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u w:val="single"/>
        </w:rPr>
      </w:pPr>
      <w:r w:rsidDel="00000000" w:rsidR="00000000" w:rsidRPr="00000000">
        <w:rPr>
          <w:b w:val="1"/>
          <w:rtl w:val="0"/>
        </w:rPr>
        <w:t xml:space="preserve">Declaration of RoHS Compliance for ESTAT’s </w:t>
      </w:r>
      <w:r w:rsidDel="00000000" w:rsidR="00000000" w:rsidRPr="00000000">
        <w:rPr>
          <w:b w:val="1"/>
          <w:rtl w:val="0"/>
        </w:rPr>
        <w:t xml:space="preserve">voltage driver products including the</w:t>
      </w:r>
      <w:r w:rsidDel="00000000" w:rsidR="00000000" w:rsidRPr="00000000">
        <w:rPr>
          <w:b w:val="1"/>
          <w:u w:val="single"/>
          <w:rtl w:val="0"/>
        </w:rPr>
        <w:t xml:space="preserve"> Isolated Voltage Driver with Digital Control </w:t>
      </w:r>
      <w:r w:rsidDel="00000000" w:rsidR="00000000" w:rsidRPr="00000000">
        <w:rPr>
          <w:b w:val="1"/>
          <w:rtl w:val="0"/>
        </w:rPr>
        <w:t xml:space="preserve">and the</w:t>
      </w:r>
      <w:r w:rsidDel="00000000" w:rsidR="00000000" w:rsidRPr="00000000">
        <w:rPr>
          <w:b w:val="1"/>
          <w:u w:val="single"/>
          <w:rtl w:val="0"/>
        </w:rPr>
        <w:t xml:space="preserve"> Battery Powered Voltage Driver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ESTAT Actuation Inc. (the “Company”)  hereby declares that the aforementioned ESTAT products, placed on the European Community market by the Company are compliant with Directive 2011/65/EU on the Restriction of Certain Hazardous Substances in Electrical and Electronic Equipment.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RoHS compliant means that where the product falls under the scope of the EU RoHS Directive, this product does not contain the following substances: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Mercury ( Hg ) 0.1%</w:t>
      </w:r>
    </w:p>
    <w:p w:rsidR="00000000" w:rsidDel="00000000" w:rsidP="00000000" w:rsidRDefault="00000000" w:rsidRPr="00000000" w14:paraId="00000008">
      <w:pPr>
        <w:rPr/>
      </w:pPr>
      <w:r w:rsidDel="00000000" w:rsidR="00000000" w:rsidRPr="00000000">
        <w:rPr>
          <w:rtl w:val="0"/>
        </w:rPr>
        <w:t xml:space="preserve">Lead ( Pb ) 0.1%</w:t>
      </w:r>
    </w:p>
    <w:p w:rsidR="00000000" w:rsidDel="00000000" w:rsidP="00000000" w:rsidRDefault="00000000" w:rsidRPr="00000000" w14:paraId="00000009">
      <w:pPr>
        <w:rPr/>
      </w:pPr>
      <w:r w:rsidDel="00000000" w:rsidR="00000000" w:rsidRPr="00000000">
        <w:rPr>
          <w:rtl w:val="0"/>
        </w:rPr>
        <w:t xml:space="preserve">Cadmium ( Cd ) 0.01%</w:t>
      </w:r>
    </w:p>
    <w:p w:rsidR="00000000" w:rsidDel="00000000" w:rsidP="00000000" w:rsidRDefault="00000000" w:rsidRPr="00000000" w14:paraId="0000000A">
      <w:pPr>
        <w:rPr/>
      </w:pPr>
      <w:r w:rsidDel="00000000" w:rsidR="00000000" w:rsidRPr="00000000">
        <w:rPr>
          <w:rtl w:val="0"/>
        </w:rPr>
        <w:t xml:space="preserve">Hexavalent Chromium ( Cr6+) 0.1%</w:t>
      </w:r>
    </w:p>
    <w:p w:rsidR="00000000" w:rsidDel="00000000" w:rsidP="00000000" w:rsidRDefault="00000000" w:rsidRPr="00000000" w14:paraId="0000000B">
      <w:pPr>
        <w:rPr/>
      </w:pPr>
      <w:r w:rsidDel="00000000" w:rsidR="00000000" w:rsidRPr="00000000">
        <w:rPr>
          <w:rtl w:val="0"/>
        </w:rPr>
        <w:t xml:space="preserve">Polybrominated Biphenyls ( PBB ) 0.1%</w:t>
      </w:r>
    </w:p>
    <w:p w:rsidR="00000000" w:rsidDel="00000000" w:rsidP="00000000" w:rsidRDefault="00000000" w:rsidRPr="00000000" w14:paraId="0000000C">
      <w:pPr>
        <w:rPr/>
      </w:pPr>
      <w:r w:rsidDel="00000000" w:rsidR="00000000" w:rsidRPr="00000000">
        <w:rPr>
          <w:rtl w:val="0"/>
        </w:rPr>
        <w:t xml:space="preserve">Polybrominated Diphenyl Ethers ( PBDE ) 0.1%</w:t>
      </w:r>
    </w:p>
    <w:p w:rsidR="00000000" w:rsidDel="00000000" w:rsidP="00000000" w:rsidRDefault="00000000" w:rsidRPr="00000000" w14:paraId="0000000D">
      <w:pPr>
        <w:rPr/>
      </w:pPr>
      <w:r w:rsidDel="00000000" w:rsidR="00000000" w:rsidRPr="00000000">
        <w:rPr>
          <w:rtl w:val="0"/>
        </w:rPr>
        <w:t xml:space="preserve">Bis(2-ethylhexyl) phthalate (DEHP) 0.1 %</w:t>
      </w:r>
    </w:p>
    <w:p w:rsidR="00000000" w:rsidDel="00000000" w:rsidP="00000000" w:rsidRDefault="00000000" w:rsidRPr="00000000" w14:paraId="0000000E">
      <w:pPr>
        <w:rPr/>
      </w:pPr>
      <w:r w:rsidDel="00000000" w:rsidR="00000000" w:rsidRPr="00000000">
        <w:rPr>
          <w:rtl w:val="0"/>
        </w:rPr>
        <w:t xml:space="preserve">Butyl benzyl phthalate (BBP) 0.1 %</w:t>
      </w:r>
    </w:p>
    <w:p w:rsidR="00000000" w:rsidDel="00000000" w:rsidP="00000000" w:rsidRDefault="00000000" w:rsidRPr="00000000" w14:paraId="0000000F">
      <w:pPr>
        <w:rPr/>
      </w:pPr>
      <w:r w:rsidDel="00000000" w:rsidR="00000000" w:rsidRPr="00000000">
        <w:rPr>
          <w:rtl w:val="0"/>
        </w:rPr>
        <w:t xml:space="preserve">Dibutyl phthalate (DBP) 0.1 %</w:t>
      </w:r>
    </w:p>
    <w:p w:rsidR="00000000" w:rsidDel="00000000" w:rsidP="00000000" w:rsidRDefault="00000000" w:rsidRPr="00000000" w14:paraId="00000010">
      <w:pPr>
        <w:rPr/>
      </w:pPr>
      <w:r w:rsidDel="00000000" w:rsidR="00000000" w:rsidRPr="00000000">
        <w:rPr>
          <w:rtl w:val="0"/>
        </w:rPr>
        <w:t xml:space="preserve">Diisobutyl phthalate (DIBP) 0.1 %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 excess of the indicated maximum concentration values by weight in homogenous materials, unless the substance is subject to an exemption specified in the Directive 1. All products are compliant with the CE marking and further information requirements as foreseen by Directive 2011/65/EU.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This declaration represents the Company’s knowledge and belief which is partially based on information provided by third party suppliers. For more information, reach out to </w:t>
      </w:r>
      <w:hyperlink r:id="rId6">
        <w:r w:rsidDel="00000000" w:rsidR="00000000" w:rsidRPr="00000000">
          <w:rPr>
            <w:color w:val="1155cc"/>
            <w:u w:val="single"/>
            <w:rtl w:val="0"/>
          </w:rPr>
          <w:t xml:space="preserve">info@estat.tech</w:t>
        </w:r>
      </w:hyperlink>
      <w:r w:rsidDel="00000000" w:rsidR="00000000" w:rsidRPr="00000000">
        <w:rPr>
          <w:rtl w:val="0"/>
        </w:rPr>
        <w:t xml:space="preserve">.</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Signature: </w:t>
        <w:tab/>
        <w:tab/>
        <w:tab/>
        <w:tab/>
        <w:tab/>
        <w:tab/>
        <w:tab/>
        <w:tab/>
        <w:tab/>
        <w:tab/>
        <w:t xml:space="preserve">October 2025</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drawing>
          <wp:inline distB="114300" distT="114300" distL="114300" distR="114300">
            <wp:extent cx="1824038" cy="82910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24038" cy="829108"/>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Kirby Witte</w:t>
      </w:r>
    </w:p>
    <w:p w:rsidR="00000000" w:rsidDel="00000000" w:rsidP="00000000" w:rsidRDefault="00000000" w:rsidRPr="00000000" w14:paraId="0000001C">
      <w:pPr>
        <w:rPr/>
      </w:pPr>
      <w:r w:rsidDel="00000000" w:rsidR="00000000" w:rsidRPr="00000000">
        <w:rPr>
          <w:rtl w:val="0"/>
        </w:rPr>
        <w:t xml:space="preserve">CCO</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jc w:val="right"/>
      <w:rPr/>
    </w:pPr>
    <w:r w:rsidDel="00000000" w:rsidR="00000000" w:rsidRPr="00000000">
      <w:rPr>
        <w:rtl w:val="0"/>
      </w:rPr>
      <w:t xml:space="preserve">ESTAT Actuation, Inc.</w:t>
    </w:r>
    <w:r w:rsidDel="00000000" w:rsidR="00000000" w:rsidRPr="00000000">
      <w:drawing>
        <wp:anchor allowOverlap="1" behindDoc="0" distB="114300" distT="114300" distL="114300" distR="114300" hidden="0" layoutInCell="1" locked="0" relativeHeight="0" simplePos="0">
          <wp:simplePos x="0" y="0"/>
          <wp:positionH relativeFrom="column">
            <wp:posOffset>-152399</wp:posOffset>
          </wp:positionH>
          <wp:positionV relativeFrom="paragraph">
            <wp:posOffset>28339</wp:posOffset>
          </wp:positionV>
          <wp:extent cx="3071692" cy="585788"/>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071692" cy="585788"/>
                  </a:xfrm>
                  <a:prstGeom prst="rect"/>
                  <a:ln/>
                </pic:spPr>
              </pic:pic>
            </a:graphicData>
          </a:graphic>
        </wp:anchor>
      </w:drawing>
    </w:r>
  </w:p>
  <w:p w:rsidR="00000000" w:rsidDel="00000000" w:rsidP="00000000" w:rsidRDefault="00000000" w:rsidRPr="00000000" w14:paraId="0000001E">
    <w:pPr>
      <w:jc w:val="right"/>
      <w:rPr/>
    </w:pPr>
    <w:r w:rsidDel="00000000" w:rsidR="00000000" w:rsidRPr="00000000">
      <w:rPr>
        <w:rtl w:val="0"/>
      </w:rPr>
      <w:t xml:space="preserve">91 43rd Street</w:t>
    </w:r>
  </w:p>
  <w:p w:rsidR="00000000" w:rsidDel="00000000" w:rsidP="00000000" w:rsidRDefault="00000000" w:rsidRPr="00000000" w14:paraId="0000001F">
    <w:pPr>
      <w:jc w:val="right"/>
      <w:rPr/>
    </w:pPr>
    <w:r w:rsidDel="00000000" w:rsidR="00000000" w:rsidRPr="00000000">
      <w:rPr>
        <w:rtl w:val="0"/>
      </w:rPr>
      <w:t xml:space="preserve">Suite 260</w:t>
    </w:r>
  </w:p>
  <w:p w:rsidR="00000000" w:rsidDel="00000000" w:rsidP="00000000" w:rsidRDefault="00000000" w:rsidRPr="00000000" w14:paraId="00000020">
    <w:pPr>
      <w:jc w:val="right"/>
      <w:rPr/>
    </w:pPr>
    <w:r w:rsidDel="00000000" w:rsidR="00000000" w:rsidRPr="00000000">
      <w:rPr>
        <w:rtl w:val="0"/>
      </w:rPr>
      <w:t xml:space="preserve">Pittsburgh PA 15116</w:t>
    </w:r>
  </w:p>
  <w:p w:rsidR="00000000" w:rsidDel="00000000" w:rsidP="00000000" w:rsidRDefault="00000000" w:rsidRPr="00000000" w14:paraId="00000021">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estat.tech" TargetMode="External"/><Relationship Id="rId7" Type="http://schemas.openxmlformats.org/officeDocument/2006/relationships/image" Target="media/image1.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